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B699" w14:textId="3ECE86EA" w:rsidR="00FA7FAF" w:rsidRDefault="00FA7FAF" w:rsidP="00FA7FAF">
      <w:pPr>
        <w:rPr>
          <w:rFonts w:hint="eastAsia"/>
        </w:rPr>
      </w:pPr>
      <w:r>
        <w:rPr>
          <w:rFonts w:hint="eastAsia"/>
        </w:rPr>
        <w:t xml:space="preserve">Figure 3 has eight panels (A–H) arranged in two rows (male above, female below) and four columns: </w:t>
      </w:r>
      <w:r w:rsidR="00066FC9">
        <w:rPr>
          <w:rFonts w:hint="eastAsia"/>
        </w:rPr>
        <w:t>longitudinal age rate</w:t>
      </w:r>
      <w:r>
        <w:rPr>
          <w:rFonts w:hint="eastAsia"/>
        </w:rPr>
        <w:t>, period rate ratios, cohort rate ratios, and local drift.</w:t>
      </w:r>
    </w:p>
    <w:p w14:paraId="3685E340" w14:textId="77777777" w:rsidR="00FA7FAF" w:rsidRDefault="00FA7FAF" w:rsidP="00FA7FAF">
      <w:pPr>
        <w:rPr>
          <w:rFonts w:hint="eastAsia"/>
        </w:rPr>
      </w:pPr>
    </w:p>
    <w:p w14:paraId="48F06BD7" w14:textId="0CAC2930" w:rsidR="00FA7FAF" w:rsidRDefault="00FA7FAF" w:rsidP="00FA7FAF">
      <w:pPr>
        <w:rPr>
          <w:rFonts w:hint="eastAsia"/>
        </w:rPr>
      </w:pPr>
      <w:r>
        <w:rPr>
          <w:rFonts w:hint="eastAsia"/>
        </w:rPr>
        <w:t>Panels A–D (Males)</w:t>
      </w:r>
    </w:p>
    <w:p w14:paraId="463AAA2B" w14:textId="4BDF788D" w:rsidR="00FA7FAF" w:rsidRDefault="00FA7FAF" w:rsidP="00FA7FAF">
      <w:pPr>
        <w:rPr>
          <w:rFonts w:hint="eastAsia"/>
        </w:rPr>
      </w:pPr>
      <w:r>
        <w:t>Panel A (age curve): x</w:t>
      </w:r>
      <w:r>
        <w:rPr>
          <w:rFonts w:ascii="Cambria Math" w:hAnsi="Cambria Math" w:cs="Cambria Math"/>
        </w:rPr>
        <w:t>‑</w:t>
      </w:r>
      <w:r>
        <w:t>axis age 1</w:t>
      </w:r>
      <w:r w:rsidR="002E441C">
        <w:rPr>
          <w:rFonts w:hint="eastAsia"/>
        </w:rPr>
        <w:t>5</w:t>
      </w:r>
      <w:r>
        <w:rPr>
          <w:rFonts w:ascii="等线" w:eastAsia="等线" w:hAnsi="等线" w:cs="等线" w:hint="eastAsia"/>
        </w:rPr>
        <w:t>–</w:t>
      </w:r>
      <w:r w:rsidR="002E441C">
        <w:rPr>
          <w:rFonts w:hint="eastAsia"/>
        </w:rPr>
        <w:t>90</w:t>
      </w:r>
      <w:r>
        <w:t>, y</w:t>
      </w:r>
      <w:r>
        <w:rPr>
          <w:rFonts w:ascii="Cambria Math" w:hAnsi="Cambria Math" w:cs="Cambria Math"/>
        </w:rPr>
        <w:t>‑</w:t>
      </w:r>
      <w:r>
        <w:t>axis mortality rate 0</w:t>
      </w:r>
      <w:r>
        <w:rPr>
          <w:rFonts w:ascii="等线" w:eastAsia="等线" w:hAnsi="等线" w:cs="等线" w:hint="eastAsia"/>
        </w:rPr>
        <w:t>–</w:t>
      </w:r>
      <w:r>
        <w:t>120. Eastern Europe starts high, peaks in young adulthood (around age 27), then declines. Northern and Western Europe peak near age 30, then decline. Southern Europe rises slowly across all</w:t>
      </w:r>
      <w:r>
        <w:rPr>
          <w:rFonts w:hint="eastAsia"/>
        </w:rPr>
        <w:t xml:space="preserve"> ages.</w:t>
      </w:r>
    </w:p>
    <w:p w14:paraId="19106B51" w14:textId="48D3520B" w:rsidR="00FA7FAF" w:rsidRDefault="00FA7FAF" w:rsidP="00FA7FAF">
      <w:pPr>
        <w:rPr>
          <w:rFonts w:hint="eastAsia"/>
        </w:rPr>
      </w:pPr>
      <w:r>
        <w:t>Panel B (period rate ratios): x</w:t>
      </w:r>
      <w:r>
        <w:rPr>
          <w:rFonts w:ascii="Cambria Math" w:hAnsi="Cambria Math" w:cs="Cambria Math"/>
        </w:rPr>
        <w:t>‑</w:t>
      </w:r>
      <w:r>
        <w:t>axis 199</w:t>
      </w:r>
      <w:r w:rsidR="002E441C">
        <w:rPr>
          <w:rFonts w:hint="eastAsia"/>
        </w:rPr>
        <w:t>0</w:t>
      </w:r>
      <w:r>
        <w:rPr>
          <w:rFonts w:ascii="等线" w:eastAsia="等线" w:hAnsi="等线" w:cs="等线" w:hint="eastAsia"/>
        </w:rPr>
        <w:t>–</w:t>
      </w:r>
      <w:r>
        <w:t>20</w:t>
      </w:r>
      <w:r w:rsidR="002E441C">
        <w:rPr>
          <w:rFonts w:hint="eastAsia"/>
        </w:rPr>
        <w:t>15</w:t>
      </w:r>
      <w:r>
        <w:t>, y</w:t>
      </w:r>
      <w:r>
        <w:rPr>
          <w:rFonts w:ascii="Cambria Math" w:hAnsi="Cambria Math" w:cs="Cambria Math"/>
        </w:rPr>
        <w:t>‑</w:t>
      </w:r>
      <w:r>
        <w:t>axis rate ratio 0.4</w:t>
      </w:r>
      <w:r>
        <w:rPr>
          <w:rFonts w:ascii="等线" w:eastAsia="等线" w:hAnsi="等线" w:cs="等线" w:hint="eastAsia"/>
        </w:rPr>
        <w:t>–</w:t>
      </w:r>
      <w:r>
        <w:t xml:space="preserve">1.2 (reference 2002.5). All regions show ratios below 1.0 after </w:t>
      </w:r>
      <w:r w:rsidR="002E441C">
        <w:rPr>
          <w:rFonts w:hint="eastAsia"/>
        </w:rPr>
        <w:t>reference period 2000-2004</w:t>
      </w:r>
      <w:r>
        <w:t xml:space="preserve">. Eastern Europe shows the lowest ratios by </w:t>
      </w:r>
      <w:r w:rsidR="002E441C">
        <w:rPr>
          <w:rFonts w:hint="eastAsia"/>
        </w:rPr>
        <w:t>2015-2019</w:t>
      </w:r>
      <w:r>
        <w:t>.</w:t>
      </w:r>
    </w:p>
    <w:p w14:paraId="45D92536" w14:textId="776895C7" w:rsidR="00FA7FAF" w:rsidRDefault="00FA7FAF" w:rsidP="00FA7FAF">
      <w:pPr>
        <w:rPr>
          <w:rFonts w:hint="eastAsia"/>
        </w:rPr>
      </w:pPr>
      <w:r>
        <w:t>Panel C (cohort rate ratios): x</w:t>
      </w:r>
      <w:r>
        <w:rPr>
          <w:rFonts w:ascii="Cambria Math" w:hAnsi="Cambria Math" w:cs="Cambria Math"/>
        </w:rPr>
        <w:t>‑</w:t>
      </w:r>
      <w:r>
        <w:t>axis birth cohort 19</w:t>
      </w:r>
      <w:r w:rsidR="002E441C">
        <w:rPr>
          <w:rFonts w:hint="eastAsia"/>
        </w:rPr>
        <w:t>05</w:t>
      </w:r>
      <w:r>
        <w:rPr>
          <w:rFonts w:ascii="等线" w:eastAsia="等线" w:hAnsi="等线" w:cs="等线" w:hint="eastAsia"/>
        </w:rPr>
        <w:t>–</w:t>
      </w:r>
      <w:r w:rsidR="002E441C">
        <w:rPr>
          <w:rFonts w:hint="eastAsia"/>
        </w:rPr>
        <w:t>1995</w:t>
      </w:r>
      <w:r>
        <w:t>, y</w:t>
      </w:r>
      <w:r>
        <w:rPr>
          <w:rFonts w:ascii="Cambria Math" w:hAnsi="Cambria Math" w:cs="Cambria Math"/>
        </w:rPr>
        <w:t>‑</w:t>
      </w:r>
      <w:r>
        <w:t>axis ratio 0.2</w:t>
      </w:r>
      <w:r>
        <w:rPr>
          <w:rFonts w:ascii="等线" w:eastAsia="等线" w:hAnsi="等线" w:cs="等线" w:hint="eastAsia"/>
        </w:rPr>
        <w:t>–</w:t>
      </w:r>
      <w:r>
        <w:t>5.5 (reference 1955). Eastern Europe shows the highest ratios for early cohorts, declining steeply toward recent cohorts. Southern Europe shows the lowest and flattest pattern.</w:t>
      </w:r>
    </w:p>
    <w:p w14:paraId="367550A0" w14:textId="43FFBA2B" w:rsidR="00FA7FAF" w:rsidRDefault="00FA7FAF" w:rsidP="00FA7FAF">
      <w:r>
        <w:t>Panel D (local drift): x</w:t>
      </w:r>
      <w:r>
        <w:rPr>
          <w:rFonts w:ascii="Cambria Math" w:hAnsi="Cambria Math" w:cs="Cambria Math"/>
        </w:rPr>
        <w:t>‑</w:t>
      </w:r>
      <w:r>
        <w:t>axis age 1</w:t>
      </w:r>
      <w:r w:rsidR="002E441C">
        <w:rPr>
          <w:rFonts w:hint="eastAsia"/>
        </w:rPr>
        <w:t>5</w:t>
      </w:r>
      <w:r>
        <w:rPr>
          <w:rFonts w:ascii="等线" w:eastAsia="等线" w:hAnsi="等线" w:cs="等线" w:hint="eastAsia"/>
        </w:rPr>
        <w:t>–</w:t>
      </w:r>
      <w:r w:rsidR="002E441C">
        <w:rPr>
          <w:rFonts w:hint="eastAsia"/>
        </w:rPr>
        <w:t>90</w:t>
      </w:r>
      <w:r>
        <w:t>, y</w:t>
      </w:r>
      <w:r>
        <w:rPr>
          <w:rFonts w:ascii="Cambria Math" w:hAnsi="Cambria Math" w:cs="Cambria Math"/>
        </w:rPr>
        <w:t>‑</w:t>
      </w:r>
      <w:r>
        <w:t xml:space="preserve">axis annual percent change </w:t>
      </w:r>
      <w:r>
        <w:rPr>
          <w:rFonts w:ascii="等线" w:eastAsia="等线" w:hAnsi="等线" w:cs="等线" w:hint="eastAsia"/>
        </w:rPr>
        <w:t>–</w:t>
      </w:r>
      <w:r>
        <w:t>5% to +1%. Eastern Europe shows strong negative drift across all ages. Southern Europe shows near</w:t>
      </w:r>
      <w:r>
        <w:rPr>
          <w:rFonts w:ascii="Cambria Math" w:hAnsi="Cambria Math" w:cs="Cambria Math"/>
        </w:rPr>
        <w:t>‑</w:t>
      </w:r>
      <w:r>
        <w:t>zero or slightly positive drift at middle ages.</w:t>
      </w:r>
    </w:p>
    <w:p w14:paraId="4DA2D2F4" w14:textId="77777777" w:rsidR="00FA7FAF" w:rsidRDefault="00FA7FAF" w:rsidP="00FA7FAF">
      <w:pPr>
        <w:rPr>
          <w:rFonts w:hint="eastAsia"/>
        </w:rPr>
      </w:pPr>
    </w:p>
    <w:p w14:paraId="2CDFFFA1" w14:textId="2E58E362" w:rsidR="00FA7FAF" w:rsidRDefault="00FA7FAF" w:rsidP="00FA7FAF">
      <w:pPr>
        <w:rPr>
          <w:rFonts w:hint="eastAsia"/>
        </w:rPr>
      </w:pPr>
      <w:r>
        <w:rPr>
          <w:rFonts w:hint="eastAsia"/>
        </w:rPr>
        <w:t>Panels E–H (Females)</w:t>
      </w:r>
    </w:p>
    <w:p w14:paraId="4DCF9354" w14:textId="2318040A" w:rsidR="00FA7FAF" w:rsidRDefault="00FA7FAF" w:rsidP="00FA7FAF">
      <w:pPr>
        <w:rPr>
          <w:rFonts w:hint="eastAsia"/>
        </w:rPr>
      </w:pPr>
      <w:r>
        <w:t>Panel E (age curve): y</w:t>
      </w:r>
      <w:r>
        <w:rPr>
          <w:rFonts w:ascii="Cambria Math" w:hAnsi="Cambria Math" w:cs="Cambria Math"/>
        </w:rPr>
        <w:t>‑</w:t>
      </w:r>
      <w:r>
        <w:t>axis 0</w:t>
      </w:r>
      <w:r>
        <w:rPr>
          <w:rFonts w:ascii="等线" w:eastAsia="等线" w:hAnsi="等线" w:cs="等线" w:hint="eastAsia"/>
        </w:rPr>
        <w:t>–</w:t>
      </w:r>
      <w:r>
        <w:t>15. Eastern Europe starts highest and declines steadily with age. Northern and Western Europe rise to a peak in mid</w:t>
      </w:r>
      <w:r>
        <w:rPr>
          <w:rFonts w:ascii="Cambria Math" w:hAnsi="Cambria Math" w:cs="Cambria Math"/>
        </w:rPr>
        <w:t>‑</w:t>
      </w:r>
      <w:r>
        <w:t>life, then decline. Southern Europe shows the lowest rates throughout.</w:t>
      </w:r>
    </w:p>
    <w:p w14:paraId="407938B6" w14:textId="08047C55" w:rsidR="00FA7FAF" w:rsidRDefault="00FA7FAF" w:rsidP="00FA7FAF">
      <w:pPr>
        <w:rPr>
          <w:rFonts w:hint="eastAsia"/>
        </w:rPr>
      </w:pPr>
      <w:r>
        <w:rPr>
          <w:rFonts w:hint="eastAsia"/>
        </w:rPr>
        <w:t xml:space="preserve">Panel F (period rate ratios): similar pattern to males. All regions show ratios below 1.0 after </w:t>
      </w:r>
      <w:r w:rsidR="002E441C">
        <w:rPr>
          <w:rFonts w:hint="eastAsia"/>
        </w:rPr>
        <w:t>period 2000-2004</w:t>
      </w:r>
      <w:r>
        <w:rPr>
          <w:rFonts w:hint="eastAsia"/>
        </w:rPr>
        <w:t>. Eastern Europe shows the lowest ratios.</w:t>
      </w:r>
    </w:p>
    <w:p w14:paraId="52204C78" w14:textId="52832D59" w:rsidR="00FA7FAF" w:rsidRDefault="00FA7FAF" w:rsidP="00FA7FAF">
      <w:pPr>
        <w:rPr>
          <w:rFonts w:hint="eastAsia"/>
        </w:rPr>
      </w:pPr>
      <w:r>
        <w:rPr>
          <w:rFonts w:hint="eastAsia"/>
        </w:rPr>
        <w:t>Panel G (cohort rate ratios): Eastern Europe shows the highest ratios for early cohorts, declining steeply. Other regions show lower ratios throughout.</w:t>
      </w:r>
    </w:p>
    <w:p w14:paraId="3C227CAC" w14:textId="77777777" w:rsidR="00FA7FAF" w:rsidRDefault="00FA7FAF" w:rsidP="00FA7FAF">
      <w:pPr>
        <w:rPr>
          <w:rFonts w:hint="eastAsia"/>
        </w:rPr>
      </w:pPr>
      <w:r>
        <w:rPr>
          <w:rFonts w:hint="eastAsia"/>
        </w:rPr>
        <w:t>Panel H (local drift): Eastern Europe shows the strongest negative drift. Northern and Western Europe show negative drift overall. Southern Europe shows mild negative drift.</w:t>
      </w:r>
    </w:p>
    <w:p w14:paraId="668DC4D0" w14:textId="0D6F8F9E" w:rsidR="002F6834" w:rsidRDefault="002F6834" w:rsidP="00FA7FAF">
      <w:pPr>
        <w:rPr>
          <w:rFonts w:hint="eastAsia"/>
        </w:rPr>
      </w:pPr>
    </w:p>
    <w:sectPr w:rsidR="002F6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FAD50" w14:textId="77777777" w:rsidR="002E21C4" w:rsidRDefault="002E21C4" w:rsidP="00FF203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D2D4B12" w14:textId="77777777" w:rsidR="002E21C4" w:rsidRDefault="002E21C4" w:rsidP="00FF203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4D3DF" w14:textId="77777777" w:rsidR="002E21C4" w:rsidRDefault="002E21C4" w:rsidP="00FF203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F4E5507" w14:textId="77777777" w:rsidR="002E21C4" w:rsidRDefault="002E21C4" w:rsidP="00FF203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21"/>
    <w:rsid w:val="00066FC9"/>
    <w:rsid w:val="00114064"/>
    <w:rsid w:val="002E21C4"/>
    <w:rsid w:val="002E441C"/>
    <w:rsid w:val="002F6834"/>
    <w:rsid w:val="0038038B"/>
    <w:rsid w:val="003F5A6B"/>
    <w:rsid w:val="0042338F"/>
    <w:rsid w:val="006A5518"/>
    <w:rsid w:val="00744783"/>
    <w:rsid w:val="008F56A6"/>
    <w:rsid w:val="009D75C0"/>
    <w:rsid w:val="009E4800"/>
    <w:rsid w:val="00C36E21"/>
    <w:rsid w:val="00DC2A92"/>
    <w:rsid w:val="00F54DAB"/>
    <w:rsid w:val="00FA7FAF"/>
    <w:rsid w:val="00FF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74B1FA"/>
  <w15:chartTrackingRefBased/>
  <w15:docId w15:val="{C2E0D939-39D8-48BF-ABA9-27712BCC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36E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6E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6E2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6E2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6E21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E2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6E2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E2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36E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36E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36E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36E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36E2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36E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36E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36E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36E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36E2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36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6E2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36E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36E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36E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36E2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36E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36E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36E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36E2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F203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F20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F20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F20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ZHANG</dc:creator>
  <cp:keywords/>
  <dc:description/>
  <cp:lastModifiedBy>Bo ZHANG</cp:lastModifiedBy>
  <cp:revision>4</cp:revision>
  <dcterms:created xsi:type="dcterms:W3CDTF">2026-04-15T14:50:00Z</dcterms:created>
  <dcterms:modified xsi:type="dcterms:W3CDTF">2026-04-15T15:15:00Z</dcterms:modified>
</cp:coreProperties>
</file>